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line="360" w:lineRule="auto"/>
        <w:jc w:val="center"/>
        <w:rPr>
          <w:rFonts w:hint="eastAsia" w:ascii="Times New Roman" w:hAnsi="Times New Roman" w:eastAsia="黑体" w:cs="Times New Roman"/>
          <w:b/>
          <w:bCs/>
          <w:caps w:val="0"/>
          <w:smallCap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黑体" w:cs="Times New Roman"/>
          <w:b/>
          <w:bCs/>
          <w:caps w:val="0"/>
          <w:smallCaps w:val="0"/>
          <w:color w:val="auto"/>
          <w:kern w:val="2"/>
          <w:sz w:val="32"/>
          <w:szCs w:val="32"/>
          <w:highlight w:val="none"/>
          <w:lang w:val="en-US" w:eastAsia="zh-CN" w:bidi="ar-SA"/>
        </w:rPr>
        <w:t>西青区储厚道（津港大道-梨双路）道路及配套管线工程地块</w:t>
      </w:r>
    </w:p>
    <w:p>
      <w:pPr>
        <w:pStyle w:val="3"/>
        <w:numPr>
          <w:ilvl w:val="0"/>
          <w:numId w:val="0"/>
        </w:numPr>
        <w:shd w:val="clear"/>
        <w:spacing w:line="360" w:lineRule="auto"/>
        <w:ind w:leftChars="0"/>
        <w:jc w:val="center"/>
        <w:rPr>
          <w:rFonts w:hint="default" w:ascii="Times New Roman" w:hAnsi="Times New Roman" w:cs="Times New Roman"/>
          <w:caps w:val="0"/>
          <w:smallCap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aps w:val="0"/>
          <w:smallCaps w:val="0"/>
          <w:color w:val="auto"/>
          <w:kern w:val="2"/>
          <w:sz w:val="32"/>
          <w:szCs w:val="32"/>
          <w:highlight w:val="none"/>
          <w:lang w:val="en-US" w:eastAsia="zh-CN" w:bidi="ar-SA"/>
        </w:rPr>
        <w:t>土壤污染状况调</w:t>
      </w:r>
      <w:bookmarkStart w:id="0" w:name="_GoBack"/>
      <w:bookmarkEnd w:id="0"/>
      <w:r>
        <w:rPr>
          <w:rFonts w:hint="default" w:ascii="Times New Roman" w:hAnsi="Times New Roman" w:eastAsia="黑体" w:cs="Times New Roman"/>
          <w:b/>
          <w:bCs/>
          <w:caps w:val="0"/>
          <w:smallCaps w:val="0"/>
          <w:color w:val="auto"/>
          <w:kern w:val="2"/>
          <w:sz w:val="32"/>
          <w:szCs w:val="32"/>
          <w:highlight w:val="none"/>
          <w:lang w:val="en-US" w:eastAsia="zh-CN" w:bidi="ar-SA"/>
        </w:rPr>
        <w:t>查报告</w:t>
      </w:r>
    </w:p>
    <w:p>
      <w:pPr>
        <w:pStyle w:val="3"/>
        <w:numPr>
          <w:ilvl w:val="0"/>
          <w:numId w:val="0"/>
        </w:numPr>
        <w:shd w:val="clear"/>
        <w:ind w:leftChars="0"/>
        <w:jc w:val="center"/>
        <w:rPr>
          <w:rFonts w:hint="default" w:ascii="Times New Roman" w:hAnsi="Times New Roman" w:eastAsia="仿宋_GB2312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摘  要</w:t>
      </w:r>
    </w:p>
    <w:p>
      <w:pPr>
        <w:pStyle w:val="5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西青区储厚道（津港大道-梨双路）道路及配套管线工程地块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位于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天津市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西青区大寺镇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该道路西起津港大道、东至梨双路，北侧为龙腾花园居民区，南侧为待开发空地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总调查面积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为</w:t>
      </w:r>
      <w:r>
        <w:rPr>
          <w:rFonts w:hint="eastAsia" w:eastAsia="宋体" w:cs="Times New Roman"/>
          <w:color w:val="000000"/>
          <w:kern w:val="2"/>
          <w:sz w:val="24"/>
          <w:szCs w:val="20"/>
          <w:highlight w:val="none"/>
          <w:shd w:val="clear" w:color="auto"/>
          <w:lang w:val="en-US" w:eastAsia="zh-CN"/>
        </w:rPr>
        <w:t>68489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根据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建设项目用地预审与选址意见通知书（</w:t>
      </w:r>
      <w:r>
        <w:rPr>
          <w:rFonts w:hint="eastAsia" w:eastAsia="仿宋" w:cs="Times New Roman"/>
          <w:caps w:val="0"/>
          <w:smallCaps w:val="0"/>
          <w:color w:val="auto"/>
          <w:highlight w:val="none"/>
          <w:lang w:val="en-US" w:eastAsia="zh-CN"/>
        </w:rPr>
        <w:t>2022西青线选申字0031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highlight w:val="none"/>
        </w:rPr>
        <w:t>，其规划用地性质为</w:t>
      </w:r>
      <w:r>
        <w:rPr>
          <w:rFonts w:hint="eastAsia" w:eastAsia="仿宋" w:cs="Times New Roman"/>
          <w:caps w:val="0"/>
          <w:smallCaps w:val="0"/>
          <w:color w:val="auto"/>
          <w:highlight w:val="none"/>
          <w:lang w:val="en-US" w:eastAsia="zh-CN"/>
        </w:rPr>
        <w:t>道路与交通设施用地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。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>
      <w:pPr>
        <w:pStyle w:val="5"/>
        <w:shd w:val="clear"/>
        <w:ind w:firstLine="480"/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</w:pP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天津环城环境科技发展有限公司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受本地块土地使用权人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天津市西青区住房和建设委员会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的委托，遵照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《中华人民共和国土壤污染防治法》第59条规定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“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地块用途变更为住宅、公共管理与公共服务用地的，变更前应当按照规定进行土壤污染状况调查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”</w:t>
      </w:r>
      <w:r>
        <w:rPr>
          <w:rFonts w:hint="eastAsia" w:ascii="Times New Roman" w:hAnsi="Times New Roman"/>
          <w:caps w:val="0"/>
          <w:smallCaps w:val="0"/>
          <w:color w:val="auto"/>
          <w:highlight w:val="none"/>
        </w:rPr>
        <w:t>的相关规定</w:t>
      </w:r>
      <w:r>
        <w:rPr>
          <w:rFonts w:hint="eastAsia" w:ascii="Times New Roman" w:hAnsi="Times New Roman"/>
          <w:caps w:val="0"/>
          <w:smallCaps w:val="0"/>
          <w:color w:val="auto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于20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22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年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月至202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年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9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月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开展了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西青区储厚道（津港大道-梨双路）道路及配套管线工程地块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土壤污染状况调查工作。</w:t>
      </w:r>
    </w:p>
    <w:p>
      <w:pPr>
        <w:pStyle w:val="5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通过两个阶段的调查，分析了该地块内的土壤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地下水污染状况，并做出如下结论：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根据现场踏勘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情况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地块现状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①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地块内西南侧及中部至东北侧为空地，其中地块内西南侧空地面积约为1120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m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地块内中部至东北侧空地区域总面积约为25380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m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vertAlign w:val="superscript"/>
          <w:lang w:val="en-US" w:eastAsia="zh-CN"/>
        </w:rPr>
        <w:t>2</w:t>
      </w:r>
      <w:r>
        <w:rPr>
          <w:rFonts w:hint="eastAsia" w:cs="Times New Roman"/>
          <w:caps w:val="0"/>
          <w:smallCaps w:val="0"/>
          <w:color w:val="auto"/>
          <w:highlight w:val="none"/>
          <w:vertAlign w:val="baseli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②地块内中部至西南侧为地块周边居民自占菜地，主要种植蔬菜、玉米等农作物，灌溉来源为居民自行储存的雨水等，面积约为31270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m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vertAlign w:val="superscript"/>
          <w:lang w:val="en-US" w:eastAsia="zh-CN"/>
        </w:rPr>
        <w:t>2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，地块内中部农田地下有一条南北向供电线贯穿地块。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③地块内西南角有一段道路为已建成的储厚道路段，包含机动车道、绿化带及人行道，其地下存在路灯套管、电信管线、输配水管、雨水管线、污水管线等地下管线；地块内中部偏西南及中部偏东北处各有一处道路，其中中部偏西南道路为硬化路面，中部偏东北道路为土路，中部偏东北土路的南北两端地下有雨水管线、污水管线、输配水管线、电信管线等地下管线；地块内道路总面积约为9869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m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vertAlign w:val="superscript"/>
          <w:lang w:val="en-US" w:eastAsia="zh-CN"/>
        </w:rPr>
        <w:t>2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④地块内东北角处有一段地表水，为卫津河，面积约为850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m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vertAlign w:val="superscript"/>
          <w:lang w:val="en-US" w:eastAsia="zh-CN"/>
        </w:rPr>
        <w:t>2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⑤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地块内无建构筑物，未发现地下水井，未发现地下储槽，未发现已被化学品污染的痕迹，未发现化学品腐蚀或泄漏的痕迹且无明显异味存在。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（2）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地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块内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东北侧为历史北口村村落，2012年拆迁完毕，至今为空地，地块内西南侧有小部分区域为南口村村落，2015年拆迁完毕；地块内中部有一学校，为南北口雅爱中心小学，于2018年停止使用，2020年拆除，现部分区域被周边居民自占为菜田，种植蔬菜；地块内中部至西南侧为历史农田，主要种植水稻、玉米、蔬菜等农作物，灌溉来源为卫津河，2017年部分农田停止种植，闲置至今；地块内西南角历史上为道路，沿用至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（3）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通过现场踏勘、人员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访谈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等方式了解到，地块周边800米范围内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主要有居民区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、现存工业企业、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在建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工程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、待开发的空地、道路、河流等。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地块外800m范围有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15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个敏感目标，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含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13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处居民区，1处中学，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以及1处综合服务中心；24处现存企业，包括工业型企业12处、加油站1处、物流及停车场4处、园区管委会1处、仓储型企业3处、机动车检验公司1处、陵园1处、变电站1处；4处在建工程，其中2处为居民区，另外2处为工业用房；1条河流，为卫津河；17条道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（4）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本地块周边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800米范围历史上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有</w:t>
      </w:r>
      <w:r>
        <w:rPr>
          <w:rFonts w:hint="eastAsia"/>
          <w:sz w:val="24"/>
          <w:szCs w:val="24"/>
          <w:lang w:val="en-US" w:eastAsia="zh-CN"/>
        </w:rPr>
        <w:t>农田、村落、居民区、鱼塘及工业区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。</w:t>
      </w:r>
    </w:p>
    <w:p>
      <w:pPr>
        <w:shd w:val="clear"/>
        <w:ind w:firstLine="480" w:firstLineChars="200"/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（5）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根据前期的地块调查，结合人员访谈得到的地块内及周边历史及现状使用情况，分析项目地块内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及相邻地块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可能存在的污染来源有历史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及现状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农田种植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农作物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过程中有机农药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化肥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、塑料大棚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的使用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，历史村落中用煤及生活垃圾、生活污水的排放等，以及地块内道路中汽车滴油及尾气排放。</w:t>
      </w:r>
    </w:p>
    <w:p>
      <w:pPr>
        <w:shd w:val="clear"/>
        <w:ind w:firstLine="480" w:firstLineChars="200"/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此外地块周边800米范围内还可能存在的潜在污染源有，农田种植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农作物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过程中有机农药及化肥的使用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历史村落中用煤及生活垃圾、生活污水的排放等，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历史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及现状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工业企业的生产活动中可能存在的污染影响等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，以及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周边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停车场、物流公司、仓储公司及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道路中汽车尾气排放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等造成的污染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/>
          <w:caps w:val="0"/>
          <w:smallCaps w:val="0"/>
          <w:highlight w:val="none"/>
        </w:rPr>
      </w:pP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（6）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经分析，调查项目地块重点关注的潜在污染物包括：铜、镉、铅、汞、镍等重金属，氯代烃、苯系物、熏制剂等VOCs，多环芳烃等SVOCs，以及石油烃、有机农药类、酞酸酯类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等</w:t>
      </w:r>
      <w:r>
        <w:rPr>
          <w:rFonts w:hint="eastAsia" w:cs="Times New Roman"/>
          <w:caps w:val="0"/>
          <w:smallCaps w:val="0"/>
          <w:color w:val="auto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第二阶段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调查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根据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地块历史使用和现状情况，以及污染识别结果，地块内土壤平面上总体采用系统布点法，其中网格间距为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0m。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）本次调查地块共布设土壤采样点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个，土壤采样深度为0.2-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.0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m，地下水采样点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个，地下水监测井深度为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4.5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m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-5.5m，地表水采样点1个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。采样调查阶段共采集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43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组土壤样品及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组现场平行样，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组地下水样品及1组现场平行样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,1组地表水样品及1组现场平行样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。将采集到的全部样品及平行样送至实验室检测，土壤及地下水检测指标包括：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《土壤环境质量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建设用地土壤污染风险管控标准》（GB 36600-2018）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中45项基本项，以及选测项pH值、石油烃、有机农药类及酞酸酯类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地表水检测指标为</w:t>
      </w:r>
      <w:r>
        <w:rPr>
          <w:rFonts w:hint="eastAsia" w:ascii="Times New Roman" w:hAnsi="Times New Roman" w:cs="Times New Roman"/>
          <w:caps w:val="0"/>
          <w:smallCaps w:val="0"/>
          <w:sz w:val="24"/>
          <w:szCs w:val="24"/>
          <w:highlight w:val="none"/>
          <w:lang w:val="en-US" w:eastAsia="zh-CN"/>
        </w:rPr>
        <w:t>《地表水环境质量标准》</w:t>
      </w:r>
      <w:r>
        <w:rPr>
          <w:rFonts w:hint="eastAsia" w:cs="Times New Roman"/>
          <w:caps w:val="0"/>
          <w:smallCaps w:val="0"/>
          <w:sz w:val="24"/>
          <w:szCs w:val="24"/>
          <w:highlight w:val="none"/>
          <w:lang w:val="en-US" w:eastAsia="zh-CN"/>
        </w:rPr>
        <w:t>（GB3838-2002）</w:t>
      </w:r>
      <w:r>
        <w:rPr>
          <w:rFonts w:hint="eastAsia" w:ascii="Times New Roman" w:hAnsi="Times New Roman" w:cs="Times New Roman"/>
          <w:caps w:val="0"/>
          <w:smallCaps w:val="0"/>
          <w:sz w:val="24"/>
          <w:szCs w:val="24"/>
          <w:highlight w:val="none"/>
          <w:lang w:val="en-US" w:eastAsia="zh-CN"/>
        </w:rPr>
        <w:t>表1中2</w:t>
      </w:r>
      <w:r>
        <w:rPr>
          <w:rFonts w:hint="eastAsia" w:cs="Times New Roman"/>
          <w:caps w:val="0"/>
          <w:smallCaps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caps w:val="0"/>
          <w:smallCaps w:val="0"/>
          <w:sz w:val="24"/>
          <w:szCs w:val="24"/>
          <w:highlight w:val="none"/>
          <w:lang w:val="en-US" w:eastAsia="zh-CN"/>
        </w:rPr>
        <w:t>项（水温、pH值、溶解氧、高锰酸盐指数、COD、BOD</w:t>
      </w:r>
      <w:r>
        <w:rPr>
          <w:rFonts w:hint="eastAsia" w:ascii="Times New Roman" w:hAnsi="Times New Roman" w:cs="Times New Roman"/>
          <w:caps w:val="0"/>
          <w:smallCaps w:val="0"/>
          <w:sz w:val="24"/>
          <w:szCs w:val="24"/>
          <w:highlight w:val="none"/>
          <w:vertAlign w:val="subscript"/>
          <w:lang w:val="en-US" w:eastAsia="zh-CN"/>
        </w:rPr>
        <w:t>5</w:t>
      </w:r>
      <w:r>
        <w:rPr>
          <w:rFonts w:hint="eastAsia" w:ascii="Times New Roman" w:hAnsi="Times New Roman" w:cs="Times New Roman"/>
          <w:caps w:val="0"/>
          <w:smallCaps w:val="0"/>
          <w:sz w:val="24"/>
          <w:szCs w:val="24"/>
          <w:highlight w:val="none"/>
          <w:lang w:val="en-US" w:eastAsia="zh-CN"/>
        </w:rPr>
        <w:t>、氨氮、总磷、总氮、铜、锌、硒、砷、汞、镉、六价铬、铅、挥发酚、石油类、阴离子表面活性剂、粪大肠菌群</w:t>
      </w:r>
      <w:r>
        <w:rPr>
          <w:rFonts w:hint="eastAsia" w:cs="Times New Roman"/>
          <w:caps w:val="0"/>
          <w:smallCaps w:val="0"/>
          <w:sz w:val="24"/>
          <w:szCs w:val="24"/>
          <w:highlight w:val="none"/>
          <w:lang w:val="en-US" w:eastAsia="zh-CN"/>
        </w:rPr>
        <w:t>、氟化物、氰化物、硫化物</w:t>
      </w:r>
      <w:r>
        <w:rPr>
          <w:rFonts w:hint="eastAsia" w:ascii="Times New Roman" w:hAnsi="Times New Roman" w:cs="Times New Roman"/>
          <w:caps w:val="0"/>
          <w:smallCaps w:val="0"/>
          <w:sz w:val="24"/>
          <w:szCs w:val="24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Chars="0" w:firstLine="480" w:firstLineChars="200"/>
        <w:jc w:val="both"/>
        <w:textAlignment w:val="auto"/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通过实验室检测表明，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送检的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43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组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土壤样品中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均检出6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种重金属（铜、镍、铅、镉、砷、汞）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其样品检出率均为100%；检出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种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半挥发性有机物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萘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苯并(a)蒽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䓛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苯并(b)荧蒽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苯并(k)荧蒽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苯并(a)芘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茚并(1,2,3-cd)芘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，其样品检出率为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2.33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%；检出石油烃，其样品检出率为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60.47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%；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其余指标均低于方法检出限。送检土壤样品pH值在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8.6-10.16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之间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所有检测样品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含量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均未超过《土壤环境质量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建设用地土壤污染风险管控标准》（GB 36600-2018）第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类用地筛选值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其余指标均低于方法检出限。</w:t>
      </w:r>
    </w:p>
    <w:p>
      <w:pPr>
        <w:pStyle w:val="5"/>
        <w:shd w:val="clear"/>
        <w:ind w:firstLine="480"/>
        <w:rPr>
          <w:rFonts w:hint="default" w:ascii="Times New Roman" w:hAnsi="Times New Roman" w:eastAsia="仿宋_GB2312" w:cs="Times New Roman"/>
          <w:caps w:val="0"/>
          <w:smallCap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通过实验室检测表明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送检地下水样品中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检出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种重金属（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铜、镍、铅、</w:t>
      </w:r>
      <w:r>
        <w:rPr>
          <w:rFonts w:hint="eastAsia" w:eastAsia="仿宋" w:cs="Times New Roman"/>
          <w:caps w:val="0"/>
          <w:smallCaps w:val="0"/>
          <w:color w:val="auto"/>
          <w:highlight w:val="none"/>
          <w:lang w:val="en-US" w:eastAsia="zh-CN"/>
        </w:rPr>
        <w:t>镉、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砷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）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其中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铜、镍、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铅、</w:t>
      </w:r>
      <w:r>
        <w:rPr>
          <w:rFonts w:hint="eastAsia" w:eastAsia="仿宋" w:cs="Times New Roman"/>
          <w:caps w:val="0"/>
          <w:smallCaps w:val="0"/>
          <w:color w:val="auto"/>
          <w:highlight w:val="none"/>
          <w:lang w:val="en-US" w:eastAsia="zh-CN"/>
        </w:rPr>
        <w:t>镉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的样品检出率为100%，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砷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的样品检出率为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83.33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%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；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检出甲体六六六、乙体六六六及六氯苯，其中甲体六六六的样品检出率为33.33%，乙体六六六及六氯苯的样品检出率为16.67%；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检出石油烃，其样品检出率为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100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%；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其余指标均低于方法检出限。送检地下水样品pH值在</w:t>
      </w:r>
      <w:r>
        <w:rPr>
          <w:rFonts w:hint="eastAsia" w:eastAsia="仿宋" w:cs="Times New Roman"/>
          <w:caps w:val="0"/>
          <w:smallCaps w:val="0"/>
          <w:color w:val="auto"/>
          <w:highlight w:val="none"/>
          <w:lang w:val="en-US" w:eastAsia="zh-CN"/>
        </w:rPr>
        <w:t>6.8-</w:t>
      </w:r>
      <w:r>
        <w:rPr>
          <w:rFonts w:hint="eastAsia" w:ascii="Times New Roman" w:hAnsi="Times New Roman" w:eastAsia="仿宋" w:cs="Times New Roman"/>
          <w:caps w:val="0"/>
          <w:smallCaps w:val="0"/>
          <w:color w:val="auto"/>
          <w:highlight w:val="none"/>
          <w:lang w:val="en-US" w:eastAsia="zh-CN"/>
        </w:rPr>
        <w:t>7.8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之间。其中重金属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、六六六总量及六氯苯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含量均未超过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《地下水质量标准》（GB/T14848-2017）</w:t>
      </w:r>
      <w:r>
        <w:rPr>
          <w:rFonts w:hint="default" w:ascii="Times New Roman" w:hAnsi="Times New Roman" w:eastAsia="微软雅黑" w:cs="Times New Roman"/>
          <w:caps w:val="0"/>
          <w:smallCaps w:val="0"/>
          <w:color w:val="auto"/>
          <w:highlight w:val="none"/>
        </w:rPr>
        <w:t>Ⅳ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类标准限值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石油烃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含量均未超过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《上海市建设用地土壤污染状况调查、风险评估、风险管控与修复方案编制、风险管控与修复效果评估工作的补充规定（试行）》附件5上海市建设用地地下水污染风险管控筛选值补充指标中第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类用地筛选值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Times New Roman" w:hAnsi="Times New Roman"/>
          <w:caps w:val="0"/>
          <w:smallCaps w:val="0"/>
          <w:highlight w:val="none"/>
          <w:lang w:val="en-US" w:eastAsia="zh-CN"/>
        </w:rPr>
      </w:pPr>
      <w:r>
        <w:rPr>
          <w:rFonts w:hint="eastAsia" w:eastAsia="仿宋" w:cs="Times New Roman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（11）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</w:rPr>
        <w:t>通过实验室检测表明</w:t>
      </w:r>
      <w:r>
        <w:rPr>
          <w:rFonts w:hint="default" w:ascii="Times New Roman" w:hAnsi="Times New Roman" w:eastAsia="仿宋" w:cs="Times New Roman"/>
          <w:caps w:val="0"/>
          <w:smallCaps w:val="0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送检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的1组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地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表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水样品中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检出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种重金属（</w:t>
      </w:r>
      <w:r>
        <w:rPr>
          <w:rFonts w:hint="eastAsia" w:ascii="Times New Roman" w:hAnsi="Times New Roman" w:eastAsia="仿宋" w:cs="仿宋"/>
          <w:caps w:val="0"/>
          <w:smallCaps w:val="0"/>
          <w:color w:val="auto"/>
          <w:highlight w:val="none"/>
          <w:lang w:val="en-US" w:eastAsia="zh-CN"/>
        </w:rPr>
        <w:t>铜、锌、铅、砷</w:t>
      </w:r>
      <w:r>
        <w:rPr>
          <w:rFonts w:hint="eastAsia" w:eastAsia="仿宋" w:cs="仿宋"/>
          <w:caps w:val="0"/>
          <w:smallCaps w:val="0"/>
          <w:color w:val="auto"/>
          <w:highlight w:val="none"/>
          <w:lang w:val="en-US" w:eastAsia="zh-CN"/>
        </w:rPr>
        <w:t>、硒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）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，常规指标中检出</w:t>
      </w:r>
      <w:r>
        <w:rPr>
          <w:rFonts w:hint="eastAsia" w:ascii="Times New Roman" w:hAnsi="Times New Roman" w:eastAsia="仿宋" w:cs="仿宋"/>
          <w:caps w:val="0"/>
          <w:smallCaps w:val="0"/>
          <w:color w:val="auto"/>
          <w:highlight w:val="none"/>
          <w:lang w:val="en-US" w:eastAsia="zh-CN"/>
        </w:rPr>
        <w:t>氨氮、</w:t>
      </w:r>
      <w:r>
        <w:rPr>
          <w:rFonts w:hint="eastAsia" w:eastAsia="仿宋" w:cs="仿宋"/>
          <w:caps w:val="0"/>
          <w:smallCaps w:val="0"/>
          <w:color w:val="auto"/>
          <w:highlight w:val="none"/>
          <w:lang w:val="en-US" w:eastAsia="zh-CN"/>
        </w:rPr>
        <w:t>挥发酚、总氮、总磷、高锰酸钾盐指数、化学需氧量、五日生化需氧量、氟化物、溶解氧和粪大肠菌群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其余</w:t>
      </w:r>
      <w:r>
        <w:rPr>
          <w:rFonts w:hint="eastAsia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指标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均低于方法检出限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。</w:t>
      </w:r>
      <w:r>
        <w:rPr>
          <w:rFonts w:hint="eastAsia"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本项目送检地表水样品pH值</w:t>
      </w:r>
      <w:r>
        <w:rPr>
          <w:rFonts w:hint="eastAsia"/>
          <w:caps w:val="0"/>
          <w:smallCaps w:val="0"/>
          <w:sz w:val="24"/>
          <w:szCs w:val="24"/>
          <w:highlight w:val="none"/>
          <w:lang w:val="en-US" w:eastAsia="zh-CN"/>
        </w:rPr>
        <w:t>为8.2</w:t>
      </w:r>
      <w:r>
        <w:rPr>
          <w:rFonts w:hint="eastAsia"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，符合</w:t>
      </w:r>
      <w:r>
        <w:rPr>
          <w:rFonts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《</w:t>
      </w:r>
      <w:r>
        <w:rPr>
          <w:rFonts w:hint="eastAsia"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地表水环境质量标准</w:t>
      </w:r>
      <w:r>
        <w:rPr>
          <w:rFonts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》（</w:t>
      </w:r>
      <w:r>
        <w:rPr>
          <w:rFonts w:hint="default"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GB</w:t>
      </w:r>
      <w:r>
        <w:rPr>
          <w:rFonts w:hint="eastAsia"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3838-2002</w:t>
      </w:r>
      <w:r>
        <w:rPr>
          <w:rFonts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中pH在6~9 之间的相应标准，</w:t>
      </w:r>
      <w:r>
        <w:rPr>
          <w:rFonts w:hint="eastAsia"/>
          <w:caps w:val="0"/>
          <w:smallCaps w:val="0"/>
          <w:sz w:val="24"/>
          <w:szCs w:val="24"/>
          <w:highlight w:val="none"/>
          <w:lang w:val="en-US" w:eastAsia="zh-CN"/>
        </w:rPr>
        <w:t>铜、锌、铅、砷、硒、挥发酚、氟化物</w:t>
      </w:r>
      <w:r>
        <w:rPr>
          <w:rFonts w:hint="eastAsia" w:ascii="Times New Roman" w:hAnsi="Times New Roman"/>
          <w:caps w:val="0"/>
          <w:smallCaps w:val="0"/>
          <w:sz w:val="24"/>
          <w:szCs w:val="24"/>
          <w:highlight w:val="none"/>
          <w:lang w:val="en-US" w:eastAsia="zh-CN"/>
        </w:rPr>
        <w:t>符合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Ⅰ类</w:t>
      </w:r>
      <w:r>
        <w:rPr>
          <w:rFonts w:hint="eastAsia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标准，</w:t>
      </w:r>
      <w:r>
        <w:rPr>
          <w:rFonts w:hint="eastAsia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溶解氧</w:t>
      </w:r>
      <w:r>
        <w:rPr>
          <w:rFonts w:hint="eastAsia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符合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Ⅱ类</w:t>
      </w:r>
      <w:r>
        <w:rPr>
          <w:rFonts w:hint="eastAsia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标准，</w:t>
      </w:r>
      <w:r>
        <w:rPr>
          <w:rFonts w:hint="eastAsia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粪大肠菌群符合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Ⅲ</w:t>
      </w:r>
      <w:r>
        <w:rPr>
          <w:rFonts w:hint="eastAsia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类标准，高锰酸钾盐指数、化学需氧量符合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Ⅳ类</w:t>
      </w:r>
      <w:r>
        <w:rPr>
          <w:rFonts w:hint="eastAsia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标准，</w:t>
      </w:r>
      <w:r>
        <w:rPr>
          <w:rFonts w:hint="eastAsia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氨氮、总氮、总磷、五日生化需氧量</w:t>
      </w:r>
      <w:r>
        <w:rPr>
          <w:rFonts w:hint="eastAsia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均属于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劣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Ⅴ类</w:t>
      </w:r>
      <w:r>
        <w:rPr>
          <w:rFonts w:hint="eastAsia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，故本地块地表水属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劣</w:t>
      </w:r>
      <w:r>
        <w:rPr>
          <w:rFonts w:hint="default" w:ascii="Times New Roman" w:hAnsi="Times New Roman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Ⅴ类</w:t>
      </w:r>
      <w:r>
        <w:rPr>
          <w:rFonts w:hint="eastAsia" w:eastAsia="仿宋" w:cs="Times New Roman"/>
          <w:b w:val="0"/>
          <w:bCs w:val="0"/>
          <w:caps w:val="0"/>
          <w:smallCap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。</w:t>
      </w:r>
    </w:p>
    <w:p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综上所述，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西青区储厚道（津港大道-梨双路）道路及配套管线工程地块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内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土壤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eastAsia="zh-CN"/>
        </w:rPr>
        <w:t>、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地下水</w:t>
      </w:r>
      <w:r>
        <w:rPr>
          <w:rFonts w:hint="eastAsia" w:cs="Times New Roman"/>
          <w:caps w:val="0"/>
          <w:smallCaps w:val="0"/>
          <w:color w:val="auto"/>
          <w:highlight w:val="none"/>
          <w:lang w:eastAsia="zh-CN"/>
        </w:rPr>
        <w:t>、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地表水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中检出的污染均低于相应的筛选值和标准限值，符合未来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  <w:lang w:val="en-US" w:eastAsia="zh-CN"/>
        </w:rPr>
        <w:t>规划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为</w:t>
      </w:r>
      <w:r>
        <w:rPr>
          <w:rFonts w:hint="eastAsia" w:eastAsia="仿宋" w:cs="Times New Roman"/>
          <w:caps w:val="0"/>
          <w:smallCaps w:val="0"/>
          <w:color w:val="auto"/>
          <w:highlight w:val="none"/>
          <w:lang w:val="en-US" w:eastAsia="zh-CN"/>
        </w:rPr>
        <w:t>道路与交通设施用地</w:t>
      </w:r>
      <w:r>
        <w:rPr>
          <w:rFonts w:hint="default" w:ascii="Times New Roman" w:hAnsi="Times New Roman" w:cs="Times New Roman"/>
          <w:caps w:val="0"/>
          <w:smallCaps w:val="0"/>
          <w:color w:val="auto"/>
          <w:highlight w:val="none"/>
        </w:rPr>
        <w:t>的土壤环境质量要求</w:t>
      </w:r>
      <w:r>
        <w:rPr>
          <w:rFonts w:hint="eastAsia" w:cs="Times New Roman"/>
          <w:caps w:val="0"/>
          <w:smallCaps w:val="0"/>
          <w:color w:val="auto"/>
          <w:highlight w:val="none"/>
          <w:lang w:eastAsia="zh-CN"/>
        </w:rPr>
        <w:t>，</w:t>
      </w:r>
      <w:r>
        <w:rPr>
          <w:rFonts w:hint="eastAsia" w:cs="Times New Roman"/>
          <w:caps w:val="0"/>
          <w:smallCaps w:val="0"/>
          <w:color w:val="auto"/>
          <w:highlight w:val="none"/>
          <w:lang w:val="en-US" w:eastAsia="zh-CN"/>
        </w:rPr>
        <w:t>无需开展进一步详细调查工作。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A7046B"/>
    <w:multiLevelType w:val="multilevel"/>
    <w:tmpl w:val="05A7046B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0M2I3YjhmOTQxYWI2Yzg0NWM5MWU2ZTBiYmJiMzIifQ=="/>
  </w:docVars>
  <w:rsids>
    <w:rsidRoot w:val="7FB673B3"/>
    <w:rsid w:val="0DE73CCC"/>
    <w:rsid w:val="11DE40C7"/>
    <w:rsid w:val="12BC3C82"/>
    <w:rsid w:val="14351EE2"/>
    <w:rsid w:val="22D24DCD"/>
    <w:rsid w:val="31B76EAA"/>
    <w:rsid w:val="3C27075C"/>
    <w:rsid w:val="437E0A1F"/>
    <w:rsid w:val="4666293A"/>
    <w:rsid w:val="4AEC4115"/>
    <w:rsid w:val="50947D8A"/>
    <w:rsid w:val="6C5747CE"/>
    <w:rsid w:val="6CB125EB"/>
    <w:rsid w:val="6E424A81"/>
    <w:rsid w:val="6FE95A44"/>
    <w:rsid w:val="77406609"/>
    <w:rsid w:val="78B208C3"/>
    <w:rsid w:val="7FB6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theme="minorBidi"/>
      <w:kern w:val="2"/>
      <w:sz w:val="24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120" w:after="120"/>
      <w:outlineLvl w:val="0"/>
    </w:pPr>
    <w:rPr>
      <w:b/>
      <w:bCs/>
      <w:kern w:val="44"/>
      <w:sz w:val="30"/>
      <w:szCs w:val="30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72" w:lineRule="auto"/>
      <w:ind w:left="480" w:leftChars="200" w:firstLine="0" w:firstLineChars="0"/>
      <w:outlineLvl w:val="4"/>
    </w:pPr>
    <w:rPr>
      <w:rFonts w:ascii="Times New Roman" w:hAnsi="Times New Roman" w:eastAsia="仿宋"/>
      <w:b/>
      <w:sz w:val="24"/>
      <w:szCs w:val="21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caption"/>
    <w:basedOn w:val="1"/>
    <w:next w:val="1"/>
    <w:link w:val="13"/>
    <w:semiHidden/>
    <w:unhideWhenUsed/>
    <w:qFormat/>
    <w:uiPriority w:val="0"/>
    <w:pPr>
      <w:spacing w:line="240" w:lineRule="auto"/>
      <w:jc w:val="center"/>
    </w:pPr>
    <w:rPr>
      <w:rFonts w:ascii="Times New Roman" w:hAnsi="Times New Roman" w:eastAsia="仿宋" w:cstheme="majorBidi"/>
      <w:b/>
      <w:sz w:val="21"/>
      <w:szCs w:val="20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21"/>
      <w:szCs w:val="18"/>
    </w:rPr>
  </w:style>
  <w:style w:type="paragraph" w:customStyle="1" w:styleId="10">
    <w:name w:val="图"/>
    <w:basedOn w:val="5"/>
    <w:qFormat/>
    <w:uiPriority w:val="0"/>
    <w:pPr>
      <w:jc w:val="center"/>
    </w:pPr>
    <w:rPr>
      <w:rFonts w:ascii="Times New Roman" w:hAnsi="Times New Roman" w:eastAsia="仿宋"/>
      <w:b/>
      <w:sz w:val="24"/>
      <w:szCs w:val="21"/>
    </w:rPr>
  </w:style>
  <w:style w:type="paragraph" w:customStyle="1" w:styleId="11">
    <w:name w:val="图片"/>
    <w:basedOn w:val="6"/>
    <w:qFormat/>
    <w:uiPriority w:val="0"/>
    <w:rPr>
      <w:rFonts w:eastAsia="仿宋" w:asciiTheme="majorAscii" w:hAnsiTheme="majorAscii" w:cstheme="majorBidi"/>
      <w:sz w:val="21"/>
      <w:szCs w:val="20"/>
    </w:rPr>
  </w:style>
  <w:style w:type="paragraph" w:customStyle="1" w:styleId="12">
    <w:name w:val="表格"/>
    <w:basedOn w:val="6"/>
    <w:qFormat/>
    <w:uiPriority w:val="0"/>
    <w:rPr>
      <w:rFonts w:eastAsia="仿宋" w:asciiTheme="majorAscii" w:hAnsiTheme="majorAscii" w:cstheme="majorBidi"/>
      <w:sz w:val="21"/>
      <w:szCs w:val="20"/>
    </w:rPr>
  </w:style>
  <w:style w:type="character" w:customStyle="1" w:styleId="13">
    <w:name w:val="题注 Char"/>
    <w:link w:val="6"/>
    <w:qFormat/>
    <w:uiPriority w:val="35"/>
    <w:rPr>
      <w:rFonts w:ascii="Times New Roman" w:hAnsi="Times New Roman" w:eastAsia="仿宋" w:cstheme="majorBidi"/>
      <w:b/>
      <w:sz w:val="21"/>
      <w:szCs w:val="20"/>
    </w:rPr>
  </w:style>
  <w:style w:type="paragraph" w:customStyle="1" w:styleId="14">
    <w:name w:val="题注1"/>
    <w:basedOn w:val="1"/>
    <w:qFormat/>
    <w:uiPriority w:val="0"/>
    <w:pPr>
      <w:spacing w:line="240" w:lineRule="auto"/>
      <w:jc w:val="center"/>
    </w:pPr>
    <w:rPr>
      <w:rFonts w:ascii="Times New Roman" w:hAnsi="Times New Roman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2022-09-16T01:46:00Z</dcterms:created>
  <dc:creator>王婷</dc:creator>
  <cp:lastModifiedBy>王婷</cp:lastModifiedBy>
  <dcterms:modified xsi:type="dcterms:W3CDTF">2022-09-16T01:49:53Z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7F2A279D316D4165A48178575854404A</vt:lpwstr>
  </property>
</Properties>
</file>